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F3" w:rsidRPr="00391DDB" w:rsidRDefault="00EF0CF3" w:rsidP="00F42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A93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37BB" w:rsidRPr="00A937BB">
        <w:rPr>
          <w:rFonts w:ascii="Times New Roman" w:hAnsi="Times New Roman" w:cs="Times New Roman"/>
          <w:sz w:val="24"/>
          <w:szCs w:val="24"/>
          <w:lang w:val="uk-UA"/>
        </w:rPr>
        <w:t>378:001.89+(051):(06)+004.78</w:t>
      </w:r>
      <w:r w:rsidR="00F427AA" w:rsidRPr="00391D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27AA" w:rsidRPr="00391D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27AA" w:rsidRPr="00391D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27AA" w:rsidRPr="00391D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6018" w:rsidRPr="00391DDB">
        <w:rPr>
          <w:rFonts w:ascii="Times New Roman" w:hAnsi="Times New Roman" w:cs="Times New Roman"/>
          <w:b/>
          <w:sz w:val="24"/>
          <w:szCs w:val="24"/>
          <w:lang w:val="uk-UA"/>
        </w:rPr>
        <w:t>Лупаренко Лілія Анатоліївна</w:t>
      </w:r>
    </w:p>
    <w:p w:rsidR="00EF0CF3" w:rsidRPr="00391DDB" w:rsidRDefault="00EC6018" w:rsidP="00EC60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>науковий співробітник</w:t>
      </w:r>
      <w:r w:rsidR="00EF0CF3" w:rsidRPr="00391DD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F0CF3" w:rsidRPr="00391DDB" w:rsidRDefault="00EC6018" w:rsidP="00EC60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>Інститут інформаційних технологій і засобів навчання (м. Київ)</w:t>
      </w:r>
    </w:p>
    <w:p w:rsidR="00EC6018" w:rsidRPr="00391DDB" w:rsidRDefault="00EC6018" w:rsidP="00EC60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0CF3" w:rsidRPr="00391DDB" w:rsidRDefault="00391DDB" w:rsidP="00391DDB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ЕТАПИ</w:t>
      </w:r>
      <w:r w:rsidRPr="00391D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ВПРОВАДЖЕННЯ ЕЛЕКТРОННОГО НАУКОВОГО ЖУРНАЛУ</w:t>
      </w:r>
    </w:p>
    <w:p w:rsidR="00391DDB" w:rsidRP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>Процес науково-дослідної роботи супроводжується комунікативною взаємодією її учасників: вчені виносять на обговорення свої прогресивні ідеї у формі опублікованих наукових статей з метою отримати зворотній зв'язок від колег-експертів, які можуть об’єктивно оцінити, підтвердити або спростувати певні твердження і висновки виконаного наукового дослідження. Все частіше для забезпечення процесу науково-інформаційного обміну своїх працівників та поширення отриманих результатів науково-дослідних робіт в наукових установах виникає необхідність започаткування власного наукового журналу. В останні роки, багатьма науковими колективами перевага надається електронному формату такого видання, оскільки до його головних переваг, у порівнянні з паперовими аналогами, можна віднести наступне:</w:t>
      </w:r>
    </w:p>
    <w:p w:rsidR="00391DDB" w:rsidRPr="00391DDB" w:rsidRDefault="00391DDB" w:rsidP="00DC7B21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91DDB">
        <w:t>подані матеріали та скомпоновані номери журналу не обмежуються за обсягом;</w:t>
      </w:r>
    </w:p>
    <w:p w:rsidR="00391DDB" w:rsidRPr="00391DDB" w:rsidRDefault="00391DDB" w:rsidP="00DC7B21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91DDB">
        <w:t>публікація поданих статей оперативна, є можливість пришвидшення та спрощення повного циклу їх підготовки, пересилання і рецензування;</w:t>
      </w:r>
    </w:p>
    <w:p w:rsidR="00391DDB" w:rsidRPr="00391DDB" w:rsidRDefault="00391DDB" w:rsidP="00DC7B21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91DDB">
        <w:t>економічна собівартість нижча, оскільки відсутні витрати на поліграфічні послуги, типографський друк, розсилання та зберігання друкованих копій;</w:t>
      </w:r>
    </w:p>
    <w:p w:rsidR="00391DDB" w:rsidRPr="00391DDB" w:rsidRDefault="00391DDB" w:rsidP="00DC7B21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91DDB">
        <w:t>є можливість швидкого розповсюдження матеріалів та оперативний доступ читацької аудиторії до наукових матеріалів при найширшій географії охоплення;</w:t>
      </w:r>
    </w:p>
    <w:p w:rsidR="00391DDB" w:rsidRPr="00391DDB" w:rsidRDefault="00391DDB" w:rsidP="00DC7B21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91DDB">
        <w:t>доступ до журналу забезпечується лише наявністю у читача персонального комп’ютера (планшета, смартфона) та мережі Інтернет;</w:t>
      </w:r>
    </w:p>
    <w:p w:rsidR="00391DDB" w:rsidRPr="00391DDB" w:rsidRDefault="00391DDB" w:rsidP="00DC7B21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91DDB">
        <w:t>необхідна менша кількість співробітників для підтримки редакційно-видавничого процесу, що спрощує та оптимізує процеси.</w:t>
      </w:r>
    </w:p>
    <w:p w:rsidR="00391DDB" w:rsidRP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Сучасною інформаційно-комунікаційною технологією для розгортання та підтримки електронних наукових періодичних видань є </w:t>
      </w:r>
      <w:r w:rsidRPr="00391DDB">
        <w:rPr>
          <w:rFonts w:ascii="Times New Roman" w:hAnsi="Times New Roman" w:cs="Times New Roman"/>
          <w:b/>
          <w:sz w:val="24"/>
          <w:szCs w:val="24"/>
          <w:lang w:val="uk-UA"/>
        </w:rPr>
        <w:t>електронні відкриті журнальні системи (ЕВЖС)</w:t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 – програмні платформи з відкритим вихідним кодом, що забезпечують організацію та децентралізоване дистанційне управління повним циклом редакційно-видавничого процесу електронних наукових журналів, а саме підтримку процесів подання, рецензування, літературного редагування, коректури, макетування та публікації статей з подальшим їх збереженням, поширенням та індексацією в мережі Інтернет [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_Ref499289452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391DDB" w:rsidRP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>Аналізуючи власний практичний досвід науково-видавничої роботи та численних консультацій з користувачами і редакторами наукових часописів, приходимо до висновку, що процес розгортання електронних наукових періодичних видань у наукових установах зазвичай супроводжується комплексом організаційних, нормативно-правових, програмно-технічних труднощів, а також соціально-психологічним неприйняттям інновації та недостатнім рівнем практичних вмінь і навичок вчених щодо використання ЕЖВС. Саме тому, для ефективної організації та оптимізації цього процесу, науковому колективу, в першу чергу, слід розробити програму впровадження електронного журналу установи та чітко дотримуватись поетапного алгоритму злагоджених дій.</w:t>
      </w:r>
    </w:p>
    <w:p w:rsidR="00391DDB" w:rsidRP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>В зарубіжній науково-методичній літературі питанню підтримки наукових видань за допомогою ЕВЖС присвячені роботи Соломон Д. Д. (Solomon D. J.) [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_Ref490500892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>], Шапіро Л. (Shapiro L.) [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_Ref490500897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>], Странак К. (Stranack K.) [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_Ref490550071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_Ref477607094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] та ін. Зокрема, в цих працях подані рекомендації для науковців щодо добору виду журналу, його проблематики, цільової аудиторії, джерел фінансування, типу контенту і доступу до нього, архівації, індексації, інформаційно-аналітичного моніторингу опублікованих наукових робіт, а також формування редакційної колегії та штату. </w:t>
      </w:r>
    </w:p>
    <w:p w:rsidR="00391DDB" w:rsidRP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Частково технічні аспекти упровадження дослідного зразка електронного журналу, що функціонує на базі ЕВЖС Open Journal Systems, було запропоновано авторським колективом </w:t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відділу відкритих освітньо-наукових інформаційних систем Інституту інформаційних технологій і засобів навчання НАПН України Спіріним О. М., Яцишин А. В., Івановою С. М., Кільченко А. В. та Лупаренко Л. А. [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_Ref490550092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>]. Однак, у вітчизняній літературі досі не представлено чіткого керівництва для наукових працівників щодо розгортання електронних наукових періодичних видань в установах НАПН України з описом повного комплексу організаційних заходів.</w:t>
      </w:r>
    </w:p>
    <w:p w:rsidR="00391DDB" w:rsidRP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>З огляду на дослідження [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_Ref492639619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], </w:t>
      </w:r>
      <w:r w:rsidRPr="00DC7B21">
        <w:rPr>
          <w:rFonts w:ascii="Times New Roman" w:hAnsi="Times New Roman" w:cs="Times New Roman"/>
          <w:b/>
          <w:sz w:val="24"/>
          <w:szCs w:val="24"/>
          <w:lang w:val="uk-UA"/>
        </w:rPr>
        <w:t>процедуру впровадження електронного наукового журналу</w:t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електронних відкритих журнальних систем розумітимемо як точний і повний опис послідовності виконання впорядкованого набору адміністративно-педагогічних заходів та дій, необхідних для розв’язування організаційно-педагогічної задачі створення і підтримки електронного періодичного наукового видання на програмній платформі певної відкритої журнальної системи.</w:t>
      </w:r>
    </w:p>
    <w:p w:rsid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>Для визначення етапів впровадження електронного наукового періодичного видання з використанням ЕВЖС скористаємося дослідженням [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_Ref499289507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, c. 104], де виокремлюється сім основних етапів формування інституційного репозитарію вищого навчального закладу, а саме: прогностичний, підготовчий, технічний, організаційний, практичний, узагальнюючий, перспективний. Конкретизуємо зміст діяльності на рівні наукової установи на кожному етапі процедури впровадження електронного журналу (табл. 1). Варто зазначити, </w:t>
      </w:r>
      <w:r w:rsidR="00DC7B21">
        <w:rPr>
          <w:rFonts w:ascii="Times New Roman" w:hAnsi="Times New Roman" w:cs="Times New Roman"/>
          <w:sz w:val="24"/>
          <w:szCs w:val="24"/>
          <w:lang w:val="uk-UA"/>
        </w:rPr>
        <w:t xml:space="preserve">що у Таблиці 1 </w:t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>орієнтовний час на виконання всіх заходів і дій подано з врахуванням досвіду розгортання та підтримки електронного наукового фахового видання «Інформаційні технології і засоби навчання» (http://journal.iitta.gov.ua) в Інституті інформаційних технологій і засобів навчання на програмній платформі Open Journal Systems.</w:t>
      </w:r>
    </w:p>
    <w:p w:rsidR="00391DDB" w:rsidRPr="00391DDB" w:rsidRDefault="00391DDB" w:rsidP="00391DD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i/>
          <w:sz w:val="24"/>
          <w:szCs w:val="24"/>
          <w:lang w:val="uk-UA"/>
        </w:rPr>
        <w:t>Таблиця 1</w:t>
      </w:r>
    </w:p>
    <w:p w:rsidR="00391DDB" w:rsidRPr="00391DDB" w:rsidRDefault="00391DDB" w:rsidP="003900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b/>
          <w:sz w:val="24"/>
          <w:szCs w:val="24"/>
          <w:lang w:val="uk-UA"/>
        </w:rPr>
        <w:t>Процедура впровадження електронного наукового журналу</w:t>
      </w:r>
    </w:p>
    <w:tbl>
      <w:tblPr>
        <w:tblStyle w:val="a8"/>
        <w:tblW w:w="0" w:type="auto"/>
        <w:tblLook w:val="04A0"/>
      </w:tblPr>
      <w:tblGrid>
        <w:gridCol w:w="1831"/>
        <w:gridCol w:w="6357"/>
        <w:gridCol w:w="1559"/>
      </w:tblGrid>
      <w:tr w:rsidR="00391DDB" w:rsidRPr="00391DDB" w:rsidTr="00391DDB">
        <w:trPr>
          <w:trHeight w:val="481"/>
        </w:trPr>
        <w:tc>
          <w:tcPr>
            <w:tcW w:w="1831" w:type="dxa"/>
            <w:shd w:val="pct5" w:color="auto" w:fill="auto"/>
            <w:vAlign w:val="center"/>
          </w:tcPr>
          <w:p w:rsidR="00391DDB" w:rsidRPr="00391DDB" w:rsidRDefault="00391DDB" w:rsidP="00A4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</w:p>
        </w:tc>
        <w:tc>
          <w:tcPr>
            <w:tcW w:w="6357" w:type="dxa"/>
            <w:shd w:val="pct5" w:color="auto" w:fill="auto"/>
            <w:vAlign w:val="center"/>
          </w:tcPr>
          <w:p w:rsidR="00391DDB" w:rsidRPr="00391DDB" w:rsidRDefault="00391DDB" w:rsidP="00A45D22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ЗМІСТ ДІЯЛЬНОСТІ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ЧАС НА ВИКОНАННЯ</w:t>
            </w:r>
          </w:p>
        </w:tc>
      </w:tr>
      <w:tr w:rsidR="00391DDB" w:rsidRPr="00391DDB" w:rsidTr="00391DDB">
        <w:trPr>
          <w:cantSplit/>
          <w:trHeight w:val="1689"/>
        </w:trPr>
        <w:tc>
          <w:tcPr>
            <w:tcW w:w="1831" w:type="dxa"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b/>
                <w:sz w:val="20"/>
                <w:szCs w:val="20"/>
              </w:rPr>
              <w:t>Прогностичний</w:t>
            </w:r>
          </w:p>
        </w:tc>
        <w:tc>
          <w:tcPr>
            <w:tcW w:w="6357" w:type="dxa"/>
          </w:tcPr>
          <w:p w:rsidR="00391DDB" w:rsidRPr="00391DDB" w:rsidRDefault="00391DDB" w:rsidP="00391DDB">
            <w:pPr>
              <w:pStyle w:val="a7"/>
              <w:numPr>
                <w:ilvl w:val="0"/>
                <w:numId w:val="3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аналіз актуальних проблем наукової галузі, висвітленню яких буде присвячений журнал, та визначення потенційної читацької аудиторії;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3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вибір виду електронного видання, економічної моделі журналу та типу доступу до нього;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4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визначення періодичності публікації та видів наукового контенту, що публікуватиметься.</w:t>
            </w: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391DDB" w:rsidRPr="00391DDB" w:rsidTr="00391DDB">
        <w:trPr>
          <w:cantSplit/>
          <w:trHeight w:val="483"/>
        </w:trPr>
        <w:tc>
          <w:tcPr>
            <w:tcW w:w="1831" w:type="dxa"/>
            <w:vMerge w:val="restart"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Організаційний </w:t>
            </w:r>
          </w:p>
        </w:tc>
        <w:tc>
          <w:tcPr>
            <w:tcW w:w="6357" w:type="dxa"/>
            <w:vMerge w:val="restart"/>
          </w:tcPr>
          <w:p w:rsidR="00391DDB" w:rsidRPr="00391DDB" w:rsidRDefault="00391DDB" w:rsidP="00391DDB">
            <w:pPr>
              <w:pStyle w:val="a7"/>
              <w:numPr>
                <w:ilvl w:val="0"/>
                <w:numId w:val="4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 xml:space="preserve">формування редакційної колегії та </w:t>
            </w:r>
            <w:hyperlink r:id="rId8" w:history="1">
              <w:r w:rsidRPr="00391DDB">
                <w:rPr>
                  <w:sz w:val="20"/>
                  <w:szCs w:val="20"/>
                </w:rPr>
                <w:t>редакційного штат</w:t>
              </w:r>
            </w:hyperlink>
            <w:r w:rsidRPr="00391DDB">
              <w:rPr>
                <w:sz w:val="20"/>
                <w:szCs w:val="20"/>
              </w:rPr>
              <w:t>у, розробка програми впровадження.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4"/>
              </w:numPr>
              <w:suppressAutoHyphens w:val="0"/>
              <w:ind w:left="309"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аналіз та добір оптимальної ЕВЖС, що задовольнятиме вимогам конкретної наукової установи, вивчення досвіду її використання в науково-видавничій діяльності.</w:t>
            </w: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</w:tr>
      <w:tr w:rsidR="00391DDB" w:rsidRPr="00391DDB" w:rsidTr="00391DDB">
        <w:trPr>
          <w:cantSplit/>
          <w:trHeight w:val="702"/>
        </w:trPr>
        <w:tc>
          <w:tcPr>
            <w:tcW w:w="1831" w:type="dxa"/>
            <w:vMerge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7" w:type="dxa"/>
            <w:vMerge/>
          </w:tcPr>
          <w:p w:rsidR="00391DDB" w:rsidRPr="00391DDB" w:rsidRDefault="00391DDB" w:rsidP="00391DDB">
            <w:pPr>
              <w:pStyle w:val="a7"/>
              <w:numPr>
                <w:ilvl w:val="0"/>
                <w:numId w:val="4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391DDB" w:rsidRPr="00391DDB" w:rsidTr="00391DDB">
        <w:trPr>
          <w:cantSplit/>
          <w:trHeight w:val="648"/>
        </w:trPr>
        <w:tc>
          <w:tcPr>
            <w:tcW w:w="1831" w:type="dxa"/>
            <w:vMerge w:val="restart"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b/>
                <w:sz w:val="20"/>
                <w:szCs w:val="20"/>
              </w:rPr>
              <w:t>Технічний</w:t>
            </w:r>
          </w:p>
        </w:tc>
        <w:tc>
          <w:tcPr>
            <w:tcW w:w="6357" w:type="dxa"/>
            <w:vMerge w:val="restart"/>
          </w:tcPr>
          <w:p w:rsidR="00391DDB" w:rsidRPr="00391DDB" w:rsidRDefault="00391DDB" w:rsidP="00391DDB">
            <w:pPr>
              <w:pStyle w:val="a7"/>
              <w:numPr>
                <w:ilvl w:val="0"/>
                <w:numId w:val="5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вибір хостингу та провайдера, інсталяція електронної відкритої журнальної системи та розгортання сайту відповідно до обраної моделі електронного журналу;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5"/>
              </w:numPr>
              <w:suppressAutoHyphens w:val="0"/>
              <w:ind w:left="309"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реєстрація сайту в пошукових машинах для подальшої індексації, підключення статистичних модулів;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7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реєстрація редакторів на сайті журналу та призначення їм відповідних посад.</w:t>
            </w: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391DDB" w:rsidRPr="00391DDB" w:rsidTr="00391DDB">
        <w:trPr>
          <w:cantSplit/>
          <w:trHeight w:val="573"/>
        </w:trPr>
        <w:tc>
          <w:tcPr>
            <w:tcW w:w="1831" w:type="dxa"/>
            <w:vMerge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7" w:type="dxa"/>
            <w:vMerge/>
          </w:tcPr>
          <w:p w:rsidR="00391DDB" w:rsidRPr="00391DDB" w:rsidRDefault="00391DDB" w:rsidP="00391DDB">
            <w:pPr>
              <w:pStyle w:val="a7"/>
              <w:numPr>
                <w:ilvl w:val="0"/>
                <w:numId w:val="5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391DDB" w:rsidRPr="00391DDB" w:rsidTr="00391DDB">
        <w:trPr>
          <w:cantSplit/>
          <w:trHeight w:val="70"/>
        </w:trPr>
        <w:tc>
          <w:tcPr>
            <w:tcW w:w="1831" w:type="dxa"/>
            <w:vMerge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7" w:type="dxa"/>
            <w:vMerge/>
          </w:tcPr>
          <w:p w:rsidR="00391DDB" w:rsidRPr="00391DDB" w:rsidRDefault="00391DDB" w:rsidP="00391DDB">
            <w:pPr>
              <w:pStyle w:val="a7"/>
              <w:numPr>
                <w:ilvl w:val="0"/>
                <w:numId w:val="5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391DDB" w:rsidRPr="00391DDB" w:rsidTr="00391DDB">
        <w:trPr>
          <w:cantSplit/>
          <w:trHeight w:val="498"/>
        </w:trPr>
        <w:tc>
          <w:tcPr>
            <w:tcW w:w="1831" w:type="dxa"/>
            <w:vMerge w:val="restart"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b/>
                <w:sz w:val="20"/>
                <w:szCs w:val="20"/>
              </w:rPr>
              <w:t>Підготовчий</w:t>
            </w:r>
          </w:p>
        </w:tc>
        <w:tc>
          <w:tcPr>
            <w:tcW w:w="6357" w:type="dxa"/>
            <w:vMerge w:val="restart"/>
          </w:tcPr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дослідження нормативно-правового підґрунтя впровадження електронного журналу та формування його політик;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наповнення сайту відповідними організаційно-інструктивними матеріалами;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розробка методичних рекомендацій для користувачів.</w:t>
            </w: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</w:tr>
      <w:tr w:rsidR="00391DDB" w:rsidRPr="00391DDB" w:rsidTr="00391DDB">
        <w:trPr>
          <w:cantSplit/>
          <w:trHeight w:val="421"/>
        </w:trPr>
        <w:tc>
          <w:tcPr>
            <w:tcW w:w="1831" w:type="dxa"/>
            <w:vMerge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7" w:type="dxa"/>
            <w:vMerge/>
          </w:tcPr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391DDB" w:rsidRPr="00391DDB" w:rsidTr="00391DDB">
        <w:trPr>
          <w:cantSplit/>
          <w:trHeight w:val="285"/>
        </w:trPr>
        <w:tc>
          <w:tcPr>
            <w:tcW w:w="1831" w:type="dxa"/>
            <w:vMerge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7" w:type="dxa"/>
            <w:vMerge/>
          </w:tcPr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 xml:space="preserve">4 тижні </w:t>
            </w:r>
          </w:p>
        </w:tc>
      </w:tr>
      <w:tr w:rsidR="00391DDB" w:rsidRPr="00391DDB" w:rsidTr="00391DDB">
        <w:trPr>
          <w:cantSplit/>
          <w:trHeight w:val="664"/>
        </w:trPr>
        <w:tc>
          <w:tcPr>
            <w:tcW w:w="1831" w:type="dxa"/>
            <w:vMerge w:val="restart"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Практичний</w:t>
            </w:r>
          </w:p>
        </w:tc>
        <w:tc>
          <w:tcPr>
            <w:tcW w:w="6357" w:type="dxa"/>
            <w:vMerge w:val="restart"/>
          </w:tcPr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підготовка користувачів журналу до роботи з ЕВЖС шляхом проведення навчальних семінарів, тренінгів і надання персональних консультацій;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дослідження їх соціально-психологічної адаптації та сприйняття інновації, за необхідності коригування навчального процесу.</w:t>
            </w: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8 тижнів</w:t>
            </w:r>
          </w:p>
        </w:tc>
      </w:tr>
      <w:tr w:rsidR="00391DDB" w:rsidRPr="00391DDB" w:rsidTr="00391DDB">
        <w:trPr>
          <w:cantSplit/>
          <w:trHeight w:val="677"/>
        </w:trPr>
        <w:tc>
          <w:tcPr>
            <w:tcW w:w="1831" w:type="dxa"/>
            <w:vMerge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7" w:type="dxa"/>
            <w:vMerge/>
          </w:tcPr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у процесі навчання</w:t>
            </w:r>
          </w:p>
        </w:tc>
      </w:tr>
      <w:tr w:rsidR="00391DDB" w:rsidRPr="00391DDB" w:rsidTr="00391DDB">
        <w:trPr>
          <w:cantSplit/>
          <w:trHeight w:val="1248"/>
        </w:trPr>
        <w:tc>
          <w:tcPr>
            <w:tcW w:w="1831" w:type="dxa"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Узагальнюючий</w:t>
            </w:r>
          </w:p>
        </w:tc>
        <w:tc>
          <w:tcPr>
            <w:tcW w:w="6357" w:type="dxa"/>
          </w:tcPr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організація збереження контенту у відкритих архівах та включення до каталогів провідних бібліотек;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 xml:space="preserve">реєстрація електронного наукового видання у вітчизняних та міжнародних реферативних і наукометричних базах даних; 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інтеграція ЕВЖС з іншими ресурсами наукової установи.</w:t>
            </w: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12 тижнів</w:t>
            </w:r>
          </w:p>
        </w:tc>
      </w:tr>
      <w:tr w:rsidR="00391DDB" w:rsidRPr="00391DDB" w:rsidTr="00391DDB">
        <w:trPr>
          <w:cantSplit/>
          <w:trHeight w:val="1239"/>
        </w:trPr>
        <w:tc>
          <w:tcPr>
            <w:tcW w:w="1831" w:type="dxa"/>
            <w:vAlign w:val="center"/>
          </w:tcPr>
          <w:p w:rsidR="00391DDB" w:rsidRPr="00391DDB" w:rsidRDefault="00391DDB" w:rsidP="00A45D2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Перспективний</w:t>
            </w:r>
          </w:p>
        </w:tc>
        <w:tc>
          <w:tcPr>
            <w:tcW w:w="6357" w:type="dxa"/>
          </w:tcPr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аналіз статистичних даних використання ресурсу;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періодичний моніторинг упровадження опублікованих в журналі результатів науково-дослідних робіт;</w:t>
            </w:r>
          </w:p>
          <w:p w:rsidR="00391DDB" w:rsidRPr="00391DDB" w:rsidRDefault="00391DDB" w:rsidP="00391DDB">
            <w:pPr>
              <w:pStyle w:val="a7"/>
              <w:numPr>
                <w:ilvl w:val="0"/>
                <w:numId w:val="6"/>
              </w:numPr>
              <w:suppressAutoHyphens w:val="0"/>
              <w:ind w:left="309"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391DDB">
              <w:rPr>
                <w:sz w:val="20"/>
                <w:szCs w:val="20"/>
              </w:rPr>
              <w:t>популяризація ресурсу в соціальних та професійних електронних мережах.</w:t>
            </w:r>
          </w:p>
        </w:tc>
        <w:tc>
          <w:tcPr>
            <w:tcW w:w="1559" w:type="dxa"/>
            <w:vAlign w:val="center"/>
          </w:tcPr>
          <w:p w:rsidR="00391DDB" w:rsidRPr="00391DDB" w:rsidRDefault="00391DDB" w:rsidP="00A45D2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DB">
              <w:rPr>
                <w:rFonts w:ascii="Times New Roman" w:hAnsi="Times New Roman" w:cs="Times New Roman"/>
                <w:sz w:val="20"/>
                <w:szCs w:val="20"/>
              </w:rPr>
              <w:t>у процесі підтримки</w:t>
            </w:r>
          </w:p>
        </w:tc>
      </w:tr>
    </w:tbl>
    <w:p w:rsidR="00391DDB" w:rsidRP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Результативність запропонованої процедури підтверджено на прикладі дослідного зразка електронного наукового видання «Інформаційні технології і засоби навчання» (http://journal.iitta.gov.ua), що підтримується на базі Інституту інформаційних технологій і засобів навчання. Редакційно-видавничий процес цього журналу був повністю налагоджений за допомогою ЕВЖС Open Journal Systems, що дозволило впровадити передові світові видавничі стандарти, сформувати нові політики видання, організувати діяльність редакційної групи в мережі Інтернет, децентралізувати обов’язки кожного редактора, залучити до редакційної колегії 27 докторів і 19 кандидатів наук з 4 країн світу, збільшити кількість зареєстрованих користувачів (з 15 до 800 чол.), авторів (до 470 чол.) та розширити читацьку аудиторію видання в світовому масштабі (57,355 відвідувачів з 157 країн) протягом 2010–2017 р. Виконання вищевказаних дій та заходів дозволило включити журнал до каталогів 10 світових бібліотек та 42 реферативних і наукометричних баз даних, зокрема Web of Science (http://ip-science.thomsonreuters.com) та забезпечило виданню 1 місце серед 460 інших вітчизняних видань за </w:t>
      </w:r>
      <w:hyperlink r:id="rId9" w:tgtFrame="_blank" w:history="1">
        <w:r w:rsidRPr="00391DDB">
          <w:rPr>
            <w:rFonts w:ascii="Times New Roman" w:hAnsi="Times New Roman" w:cs="Times New Roman"/>
            <w:sz w:val="24"/>
            <w:szCs w:val="24"/>
            <w:lang w:val="uk-UA"/>
          </w:rPr>
          <w:t>наукометричним рейтингом «Google Scholar Metrics</w:t>
        </w:r>
      </w:hyperlink>
      <w:r w:rsidRPr="00391DDB">
        <w:rPr>
          <w:rFonts w:ascii="Times New Roman" w:hAnsi="Times New Roman" w:cs="Times New Roman"/>
          <w:sz w:val="24"/>
          <w:szCs w:val="24"/>
          <w:lang w:val="uk-UA"/>
        </w:rPr>
        <w:t>» [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REF _Ref492629538 \r \h </w:instrText>
      </w:r>
      <w:r w:rsidR="001E5B56">
        <w:rPr>
          <w:rFonts w:ascii="Times New Roman" w:hAnsi="Times New Roman" w:cs="Times New Roman"/>
          <w:sz w:val="24"/>
          <w:szCs w:val="24"/>
          <w:lang w:val="uk-UA"/>
        </w:rPr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28D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E5B5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391DDB" w:rsidRPr="00391DDB" w:rsidRDefault="00391DDB" w:rsidP="00391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sz w:val="24"/>
          <w:szCs w:val="24"/>
          <w:lang w:val="uk-UA"/>
        </w:rPr>
        <w:t xml:space="preserve">Отож, можна стверджувати, що дотримання представленої процедури впровадження електронного наукового фахового видання на базі ЕВЖС Open Journal Systems і рекомендацій щодо його підтримки, дозволить швидко та ефективно налагодити редакційно-видавничий процес, і, як наслідок, забезпечити високий рівень науково-інформаційний обміну у певній науковій галузі. </w:t>
      </w:r>
    </w:p>
    <w:p w:rsidR="00EF0CF3" w:rsidRDefault="00EF0CF3" w:rsidP="0039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1DDB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0" w:name="_Ref490503884"/>
      <w:bookmarkStart w:id="1" w:name="_Ref499289452"/>
      <w:r w:rsidRPr="00391DDB">
        <w:t xml:space="preserve">Лупаренко, Л. А. (2017). </w:t>
      </w:r>
      <w:bookmarkEnd w:id="0"/>
      <w:r w:rsidRPr="00391DDB">
        <w:t>Добір електронних відкритих журнальних систем для наукових видань з освітніх досліджень. Інформаційні технології і засоби навчання, 4 (60). Взято з http://journal.iitta.gov.ua/index.php/itlt/article/view/1835.</w:t>
      </w:r>
      <w:bookmarkEnd w:id="1"/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2" w:name="_Ref490500897"/>
      <w:r w:rsidRPr="00391DDB">
        <w:t xml:space="preserve">Shapiro, L. (2005). Establishing and publishing an online peer-reviewed journal: action plan, resourcing, and costs. Взято з </w:t>
      </w:r>
      <w:hyperlink r:id="rId10" w:history="1">
        <w:r w:rsidRPr="00391DDB">
          <w:t>https://pkp.sfu.ca/files/OJS_Project_Report_Shapiro.pdf</w:t>
        </w:r>
      </w:hyperlink>
      <w:r w:rsidRPr="00391DDB">
        <w:t>.</w:t>
      </w:r>
      <w:bookmarkEnd w:id="2"/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3" w:name="_Ref490500892"/>
      <w:r w:rsidRPr="00391DDB">
        <w:t>Solomon, D. J. (2008). Developing Open Access Journals: A practical guide. Взято з http://www.uib.no/sites/w3.uib.no/files/attachments/guide_to_developing_oa_journals.pdf</w:t>
      </w:r>
      <w:bookmarkEnd w:id="3"/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4" w:name="_Ref490550071"/>
      <w:r w:rsidRPr="00391DDB">
        <w:t>Stranack, K. (2006). Getting Found, Staying Found, Increasing Impact. Взято з https://pkp.sfu.ca/files/GettingFoundStayingFound.pdf.</w:t>
      </w:r>
      <w:bookmarkEnd w:id="4"/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5" w:name="_Ref477607094"/>
      <w:r w:rsidRPr="00391DDB">
        <w:t>Stranaсk, K. (2008). Starting a New Scholarly Journal in Africa. Stanford, California: Public Knowledge Project.</w:t>
      </w:r>
      <w:bookmarkEnd w:id="5"/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6" w:name="_Ref490550092"/>
      <w:r w:rsidRPr="00391DDB">
        <w:t>Спірін, О. М., Яцишин, А. В., Іванова, С. М. Кільченко, А. В., Лупаренко, Л. А. (2017). Модель інформаційно-аналітичної підтримки педагогічних досліджень на основі електронних систем відкритого доступу. Інформаційні технології і засоби навчання, 59, 134–154. Взято з http://journal.iitta.gov.ua/index.php/itlt/article/view/1694</w:t>
      </w:r>
      <w:bookmarkEnd w:id="6"/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7" w:name="_Ref492639619"/>
      <w:r w:rsidRPr="00391DDB">
        <w:t>Спірін, О. М. (2006) Процедурний підхід до проектування кредитно-модульної системи. Вісник Житомирського державного університету імені Івана Франка, 28, 14–18.</w:t>
      </w:r>
      <w:bookmarkEnd w:id="7"/>
      <w:r w:rsidRPr="00391DDB">
        <w:t xml:space="preserve"> </w:t>
      </w:r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8" w:name="_Ref477424666"/>
      <w:bookmarkStart w:id="9" w:name="_Ref499289507"/>
      <w:r w:rsidRPr="00391DDB">
        <w:t>Олексюк, О. Р. (2014) Система DSpace як засіб активізації науково-дослідної роботи майбутніх учителів інформатики. (Дис. канд. пед. наук). Інститут інформаційних технологій і засобів навчання, Київ</w:t>
      </w:r>
      <w:bookmarkEnd w:id="8"/>
      <w:r w:rsidRPr="00391DDB">
        <w:t>.</w:t>
      </w:r>
      <w:bookmarkEnd w:id="9"/>
    </w:p>
    <w:p w:rsidR="00391DDB" w:rsidRPr="00391DDB" w:rsidRDefault="00391DDB" w:rsidP="00391DDB">
      <w:pPr>
        <w:pStyle w:val="a7"/>
        <w:numPr>
          <w:ilvl w:val="0"/>
          <w:numId w:val="9"/>
        </w:numPr>
        <w:ind w:left="426" w:hanging="426"/>
        <w:jc w:val="both"/>
      </w:pPr>
      <w:bookmarkStart w:id="10" w:name="_Ref492629538"/>
      <w:r w:rsidRPr="00391DDB">
        <w:t>Google Scholar Metrics. Взято з https://scholar.google.com.ua/citations?view_op=top_venues&amp;hl= uk&amp;vq=uk.</w:t>
      </w:r>
      <w:bookmarkEnd w:id="10"/>
    </w:p>
    <w:sectPr w:rsidR="00391DDB" w:rsidRPr="00391DDB" w:rsidSect="0069491C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36" w:rsidRDefault="00AB1F36" w:rsidP="0069491C">
      <w:pPr>
        <w:spacing w:after="0" w:line="240" w:lineRule="auto"/>
      </w:pPr>
      <w:r>
        <w:separator/>
      </w:r>
    </w:p>
  </w:endnote>
  <w:endnote w:type="continuationSeparator" w:id="0">
    <w:p w:rsidR="00AB1F36" w:rsidRDefault="00AB1F36" w:rsidP="006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36" w:rsidRDefault="00AB1F36" w:rsidP="0069491C">
      <w:pPr>
        <w:spacing w:after="0" w:line="240" w:lineRule="auto"/>
      </w:pPr>
      <w:r>
        <w:separator/>
      </w:r>
    </w:p>
  </w:footnote>
  <w:footnote w:type="continuationSeparator" w:id="0">
    <w:p w:rsidR="00AB1F36" w:rsidRDefault="00AB1F36" w:rsidP="0069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21"/>
    <w:multiLevelType w:val="hybridMultilevel"/>
    <w:tmpl w:val="ADB8E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946D45"/>
    <w:multiLevelType w:val="hybridMultilevel"/>
    <w:tmpl w:val="5EEC096C"/>
    <w:lvl w:ilvl="0" w:tplc="E990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24F89"/>
    <w:multiLevelType w:val="hybridMultilevel"/>
    <w:tmpl w:val="2E34F940"/>
    <w:lvl w:ilvl="0" w:tplc="9CDE92F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5F4F37"/>
    <w:multiLevelType w:val="hybridMultilevel"/>
    <w:tmpl w:val="5596B680"/>
    <w:lvl w:ilvl="0" w:tplc="4F1EA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2E7D38"/>
    <w:multiLevelType w:val="hybridMultilevel"/>
    <w:tmpl w:val="470294C4"/>
    <w:lvl w:ilvl="0" w:tplc="E990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109EB"/>
    <w:multiLevelType w:val="hybridMultilevel"/>
    <w:tmpl w:val="4A9A4984"/>
    <w:lvl w:ilvl="0" w:tplc="E990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6E56"/>
    <w:multiLevelType w:val="hybridMultilevel"/>
    <w:tmpl w:val="41ACF852"/>
    <w:lvl w:ilvl="0" w:tplc="E990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70E2B"/>
    <w:multiLevelType w:val="hybridMultilevel"/>
    <w:tmpl w:val="99ACF6F4"/>
    <w:lvl w:ilvl="0" w:tplc="E990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B036E"/>
    <w:multiLevelType w:val="hybridMultilevel"/>
    <w:tmpl w:val="7DC2D982"/>
    <w:lvl w:ilvl="0" w:tplc="E990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91C"/>
    <w:rsid w:val="000E55D5"/>
    <w:rsid w:val="001E5B56"/>
    <w:rsid w:val="003900ED"/>
    <w:rsid w:val="00391DDB"/>
    <w:rsid w:val="004B44CE"/>
    <w:rsid w:val="005B28DF"/>
    <w:rsid w:val="0069491C"/>
    <w:rsid w:val="006E022F"/>
    <w:rsid w:val="006F3297"/>
    <w:rsid w:val="0085082D"/>
    <w:rsid w:val="00A13322"/>
    <w:rsid w:val="00A937BB"/>
    <w:rsid w:val="00AB1F36"/>
    <w:rsid w:val="00B237F7"/>
    <w:rsid w:val="00C73BAD"/>
    <w:rsid w:val="00DC7B21"/>
    <w:rsid w:val="00EC6018"/>
    <w:rsid w:val="00EF0CF3"/>
    <w:rsid w:val="00F161C7"/>
    <w:rsid w:val="00F4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91C"/>
  </w:style>
  <w:style w:type="paragraph" w:styleId="a5">
    <w:name w:val="footer"/>
    <w:basedOn w:val="a"/>
    <w:link w:val="a6"/>
    <w:uiPriority w:val="99"/>
    <w:semiHidden/>
    <w:unhideWhenUsed/>
    <w:rsid w:val="0069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91C"/>
  </w:style>
  <w:style w:type="paragraph" w:styleId="a7">
    <w:name w:val="List Paragraph"/>
    <w:basedOn w:val="a"/>
    <w:uiPriority w:val="34"/>
    <w:qFormat/>
    <w:rsid w:val="00391DD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8">
    <w:name w:val="Table Grid"/>
    <w:basedOn w:val="a1"/>
    <w:uiPriority w:val="59"/>
    <w:rsid w:val="00391DD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ац"/>
    <w:basedOn w:val="a"/>
    <w:link w:val="aa"/>
    <w:rsid w:val="00391DD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uk-UA"/>
    </w:rPr>
  </w:style>
  <w:style w:type="character" w:customStyle="1" w:styleId="aa">
    <w:name w:val="абзац Знак"/>
    <w:basedOn w:val="a0"/>
    <w:link w:val="a9"/>
    <w:rsid w:val="00391DDB"/>
    <w:rPr>
      <w:rFonts w:ascii="Times New Roman" w:eastAsia="Times New Roman" w:hAnsi="Times New Roman" w:cs="Times New Roman"/>
      <w:sz w:val="20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iitta.gov.ua/index.php/itlt/about/editorialT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kp.sfu.ca/files/OJS_Project_Report_Shapir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citations?view_op=top_venues&amp;hl=uk&amp;vq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EA06-E55A-4095-B7B7-A9CCCA7B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15</cp:revision>
  <cp:lastPrinted>2017-11-24T10:36:00Z</cp:lastPrinted>
  <dcterms:created xsi:type="dcterms:W3CDTF">2017-11-17T07:43:00Z</dcterms:created>
  <dcterms:modified xsi:type="dcterms:W3CDTF">2017-11-24T10:37:00Z</dcterms:modified>
</cp:coreProperties>
</file>